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87" w:rsidRDefault="00FB4687" w:rsidP="008C1E0E">
      <w:pPr>
        <w:spacing w:after="0" w:line="240" w:lineRule="auto"/>
        <w:jc w:val="both"/>
        <w:rPr>
          <w:rFonts w:ascii="Times New Roman" w:eastAsia="Times New Roman" w:hAnsi="Times New Roman"/>
          <w:b/>
          <w:bCs/>
          <w:sz w:val="24"/>
          <w:szCs w:val="24"/>
          <w:lang w:bidi="ne-NP"/>
        </w:rPr>
      </w:pPr>
      <w:r>
        <w:rPr>
          <w:rFonts w:ascii="Times New Roman" w:eastAsia="Times New Roman" w:hAnsi="Times New Roman"/>
          <w:b/>
          <w:bCs/>
          <w:noProof/>
          <w:sz w:val="24"/>
          <w:szCs w:val="24"/>
          <w:lang w:bidi="ne-NP"/>
        </w:rPr>
        <w:drawing>
          <wp:inline distT="0" distB="0" distL="0" distR="0">
            <wp:extent cx="6036733" cy="3657600"/>
            <wp:effectExtent l="19050" t="0" r="211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t="12610" r="21154"/>
                    <a:stretch>
                      <a:fillRect/>
                    </a:stretch>
                  </pic:blipFill>
                  <pic:spPr bwMode="auto">
                    <a:xfrm>
                      <a:off x="0" y="0"/>
                      <a:ext cx="6036733" cy="3657600"/>
                    </a:xfrm>
                    <a:prstGeom prst="rect">
                      <a:avLst/>
                    </a:prstGeom>
                    <a:noFill/>
                    <a:ln w="9525">
                      <a:noFill/>
                      <a:miter lim="800000"/>
                      <a:headEnd/>
                      <a:tailEnd/>
                    </a:ln>
                  </pic:spPr>
                </pic:pic>
              </a:graphicData>
            </a:graphic>
          </wp:inline>
        </w:drawing>
      </w:r>
    </w:p>
    <w:p w:rsidR="00FB4687" w:rsidRDefault="00FB4687" w:rsidP="008C1E0E">
      <w:pPr>
        <w:spacing w:after="0" w:line="240" w:lineRule="auto"/>
        <w:jc w:val="both"/>
        <w:rPr>
          <w:rFonts w:ascii="Times New Roman" w:eastAsia="Times New Roman" w:hAnsi="Times New Roman"/>
          <w:b/>
          <w:bCs/>
          <w:sz w:val="24"/>
          <w:szCs w:val="24"/>
          <w:lang w:bidi="ne-NP"/>
        </w:rPr>
      </w:pPr>
    </w:p>
    <w:p w:rsidR="00127C3F" w:rsidRDefault="00FB4687" w:rsidP="008C1E0E">
      <w:pPr>
        <w:spacing w:after="0" w:line="240" w:lineRule="auto"/>
        <w:jc w:val="both"/>
        <w:rPr>
          <w:rFonts w:ascii="Times New Roman" w:eastAsia="Times New Roman" w:hAnsi="Times New Roman"/>
          <w:sz w:val="24"/>
          <w:szCs w:val="24"/>
          <w:lang w:bidi="ne-NP"/>
        </w:rPr>
      </w:pPr>
      <w:r w:rsidRPr="00FB4687">
        <w:rPr>
          <w:rFonts w:ascii="Times New Roman" w:eastAsia="Times New Roman" w:hAnsi="Times New Roman"/>
          <w:b/>
          <w:bCs/>
          <w:sz w:val="24"/>
          <w:szCs w:val="24"/>
          <w:lang w:bidi="ne-NP"/>
        </w:rPr>
        <w:t>Packet Clearing House</w:t>
      </w:r>
      <w:r w:rsidRPr="00FB4687">
        <w:rPr>
          <w:rFonts w:ascii="Times New Roman" w:eastAsia="Times New Roman" w:hAnsi="Times New Roman"/>
          <w:sz w:val="24"/>
          <w:szCs w:val="24"/>
          <w:lang w:bidi="ne-NP"/>
        </w:rPr>
        <w:t xml:space="preserve"> is a non-profit research institute that supports operations and analysis in the areas of Internet traffic exchange, routing economics, and global network development. </w:t>
      </w:r>
      <w:r w:rsidRPr="00FB4687">
        <w:rPr>
          <w:rFonts w:ascii="Times New Roman" w:eastAsia="Times New Roman" w:hAnsi="Times New Roman"/>
          <w:sz w:val="24"/>
          <w:szCs w:val="24"/>
          <w:lang w:bidi="ne-NP"/>
        </w:rPr>
        <w:br/>
        <w:t>      Originally formed in 1994 to provide efficient regional and local network interconnection alternatives for the west coast of the United States, PCH has since grown to become the leading proponent of neutral independent network interconnection and provider of route-servers at major exchange points worldwide.</w:t>
      </w:r>
    </w:p>
    <w:p w:rsidR="00FB4687" w:rsidRPr="00FB4687" w:rsidRDefault="00FB4687" w:rsidP="008C1E0E">
      <w:pPr>
        <w:spacing w:after="0" w:line="240" w:lineRule="auto"/>
        <w:jc w:val="both"/>
        <w:rPr>
          <w:rFonts w:ascii="Times New Roman" w:eastAsia="Times New Roman" w:hAnsi="Times New Roman"/>
          <w:sz w:val="24"/>
          <w:szCs w:val="24"/>
          <w:lang w:bidi="ne-NP"/>
        </w:rPr>
      </w:pPr>
      <w:r w:rsidRPr="00FB4687">
        <w:rPr>
          <w:rFonts w:ascii="Times New Roman" w:eastAsia="Times New Roman" w:hAnsi="Times New Roman"/>
          <w:sz w:val="24"/>
          <w:szCs w:val="24"/>
          <w:lang w:bidi="ne-NP"/>
        </w:rPr>
        <w:t xml:space="preserve">      Today, PCH provides equipment, training, data, and operational support to organizations and individual researchers seeking to improve the quality, robustness, and accessibility of the Internet.       Current and ongoing PCH projects include the construction of Internet Exchanges Points (IXPs) throughout the developing world; operation of the INOC-DBA global Internet infrastructure protection hotline; support for globally distributed domain name system (DNS) resources; implementation of network research data collection initiatives in more than three dozen countries; and the development and presentation of educational materials to foster a better understanding of Internet architectural principles and their policy implications among policy makers, technologists, and the general public. </w:t>
      </w:r>
    </w:p>
    <w:p w:rsidR="00FF7C49" w:rsidRDefault="00FF7C49" w:rsidP="008C1E0E">
      <w:pPr>
        <w:jc w:val="both"/>
      </w:pPr>
    </w:p>
    <w:p w:rsidR="00FB4687" w:rsidRPr="008C1E0E" w:rsidRDefault="00FB4687" w:rsidP="008C1E0E">
      <w:pPr>
        <w:jc w:val="both"/>
        <w:rPr>
          <w:b/>
          <w:bCs/>
          <w:sz w:val="40"/>
        </w:rPr>
      </w:pPr>
      <w:r w:rsidRPr="008C1E0E">
        <w:rPr>
          <w:b/>
          <w:bCs/>
          <w:sz w:val="40"/>
        </w:rPr>
        <w:t>PCH operation:</w:t>
      </w:r>
    </w:p>
    <w:p w:rsidR="008C1E0E" w:rsidRDefault="00FB4687" w:rsidP="008C1E0E">
      <w:pPr>
        <w:pStyle w:val="NormalWeb"/>
        <w:jc w:val="both"/>
        <w:rPr>
          <w:rStyle w:val="Strong"/>
        </w:rPr>
      </w:pPr>
      <w:r>
        <w:rPr>
          <w:rStyle w:val="Strong"/>
        </w:rPr>
        <w:t>INTERNET EXCHANGE SUPPORT</w:t>
      </w:r>
      <w:bookmarkStart w:id="0" w:name="1"/>
    </w:p>
    <w:bookmarkEnd w:id="0"/>
    <w:p w:rsidR="00FB4687" w:rsidRDefault="00FB4687" w:rsidP="008C1E0E">
      <w:pPr>
        <w:pStyle w:val="NormalWeb"/>
        <w:jc w:val="both"/>
      </w:pPr>
      <w:r>
        <w:t xml:space="preserve">Packet Clearing House provides support both to Internet exchange facilities in the process of formation and to those that are already up and running. Although we supply the switching equipment that forms the technological core of exchanges, often our most valuable contribution </w:t>
      </w:r>
      <w:r>
        <w:lastRenderedPageBreak/>
        <w:t xml:space="preserve">is in the form of education, technical expertise, and mediation with policy and economic officials of the local government. </w:t>
      </w:r>
    </w:p>
    <w:p w:rsidR="00FB4687" w:rsidRDefault="00FB4687" w:rsidP="008C1E0E">
      <w:pPr>
        <w:pStyle w:val="NormalWeb"/>
        <w:jc w:val="both"/>
      </w:pPr>
      <w:r>
        <w:t xml:space="preserve">In forming new Internet exchanges, PCH facilitates a multi-phase process that typically takes about six months: we organize local stakeholders in an </w:t>
      </w:r>
      <w:proofErr w:type="spellStart"/>
      <w:r>
        <w:t>unserved</w:t>
      </w:r>
      <w:proofErr w:type="spellEnd"/>
      <w:r>
        <w:t xml:space="preserve"> region to form an independent, not-for-profit industry association; guide that association through the necessary decisions regarding organizational, financial, and governance structure; work with government in the region to ensure a beneficial regulatory climate; assist them with site selection and preparation; and finally organize an intensive week-long series of classes and workshops that culminates in the physical turn-up of the exchange facility and its inauguration with production traffic. </w:t>
      </w:r>
    </w:p>
    <w:p w:rsidR="00FB4687" w:rsidRDefault="00FB4687" w:rsidP="008C1E0E">
      <w:pPr>
        <w:pStyle w:val="NormalWeb"/>
        <w:jc w:val="both"/>
      </w:pPr>
      <w:r>
        <w:t xml:space="preserve">When PCH is called in to work with a preexisting exchange, it is typically to assist with a transition or overcome a newly encountered technological or economic hurdle. Frequently a change in the competitive environment renders an exchange's business model ineffective, and we work with the exchange, its member-participants, and regulatory authorities to create a new business model that satisfies each of the stakeholders and provides long-term financial stability. </w:t>
      </w:r>
    </w:p>
    <w:p w:rsidR="008C1E0E" w:rsidRDefault="00FB4687" w:rsidP="008C1E0E">
      <w:pPr>
        <w:pStyle w:val="NormalWeb"/>
        <w:rPr>
          <w:rStyle w:val="Strong"/>
        </w:rPr>
      </w:pPr>
      <w:r>
        <w:rPr>
          <w:rStyle w:val="Strong"/>
        </w:rPr>
        <w:t>ROUTE SERVERS</w:t>
      </w:r>
      <w:bookmarkStart w:id="1" w:name="2"/>
    </w:p>
    <w:p w:rsidR="00FB4687" w:rsidRDefault="00FB4687" w:rsidP="008C1E0E">
      <w:pPr>
        <w:pStyle w:val="NormalWeb"/>
        <w:jc w:val="both"/>
      </w:pPr>
      <w:r>
        <w:t> </w:t>
      </w:r>
      <w:bookmarkEnd w:id="1"/>
      <w:r>
        <w:br/>
        <w:t xml:space="preserve">In addition to providing the OSI Layer-2 switch gear that forms the core of an Internet exchange, PCH also provides Layer-3 route servers to facilitate easier and safer interconnection between participants at the exchange. Unlike global-scale backbone networks, smaller regional and local service-provider networks often have small technical staffs. If they are connecting to an exchange for the first time, as is often the case when we construct new exchanges, they typically lack expertise in the area of multi-homed routing. Route servers can greatly accelerate the turn-up of such new exchanges by allowing each participating network to configure a single logical routing adjacency ("peering session") with the route server rather than a full mesh of individual adjacencies with each of the other participants. As new participants join the exchange, they receive the immediate benefit of full use of the exchange as soon as they contact the route server, rather than incrementally gaining use of the exchange as they configure each of many peering sessions. Route servers also increase the degree of safety to the participants, since their filters ensure the accuracy of the routing information that passes through them. This filtering prevents the widespread propagation of network outages caused by participants' accidental </w:t>
      </w:r>
      <w:proofErr w:type="spellStart"/>
      <w:r>
        <w:t>misconfiguration</w:t>
      </w:r>
      <w:proofErr w:type="spellEnd"/>
      <w:r>
        <w:t xml:space="preserve"> of routers. </w:t>
      </w:r>
    </w:p>
    <w:p w:rsidR="008C1E0E" w:rsidRDefault="00FB4687" w:rsidP="008C1E0E">
      <w:pPr>
        <w:pStyle w:val="NormalWeb"/>
        <w:jc w:val="both"/>
        <w:rPr>
          <w:rStyle w:val="Strong"/>
        </w:rPr>
      </w:pPr>
      <w:r>
        <w:rPr>
          <w:rStyle w:val="Strong"/>
        </w:rPr>
        <w:t>INTER-NOC HOTLINE PHONE SYSTEM</w:t>
      </w:r>
      <w:bookmarkStart w:id="2" w:name="3"/>
    </w:p>
    <w:p w:rsidR="00FB4687" w:rsidRDefault="00FB4687" w:rsidP="008C1E0E">
      <w:pPr>
        <w:pStyle w:val="NormalWeb"/>
        <w:jc w:val="both"/>
      </w:pPr>
      <w:r>
        <w:t> </w:t>
      </w:r>
      <w:bookmarkEnd w:id="2"/>
      <w:r>
        <w:br/>
        <w:t>Packet Clearing House operates the Inter-Network Operations Center Dial-By-ASN (</w:t>
      </w:r>
      <w:hyperlink r:id="rId5" w:history="1">
        <w:r>
          <w:rPr>
            <w:rStyle w:val="Hyperlink"/>
          </w:rPr>
          <w:t>INOC-DBA</w:t>
        </w:r>
      </w:hyperlink>
      <w:r>
        <w:t xml:space="preserve">) hotline phone system, a global voice telephony network that connects the network operations centers and security incident response teams of critical Internet infrastructure providers such as backbone carriers, Internet service providers, and Internet exchanges as well as critical individuals within the policy, regulatory, Internet governance, security and vendor communities. The </w:t>
      </w:r>
      <w:hyperlink r:id="rId6" w:history="1">
        <w:r>
          <w:rPr>
            <w:rStyle w:val="Hyperlink"/>
          </w:rPr>
          <w:t>INOC-DBA</w:t>
        </w:r>
      </w:hyperlink>
      <w:r>
        <w:t xml:space="preserve"> is a closed system, ensuring secure and authenticated communications, and uses a combination of highly redundant directory services and direct peer-</w:t>
      </w:r>
      <w:r>
        <w:lastRenderedPageBreak/>
        <w:t xml:space="preserve">to-peer communications between stations to create a resilient, high-survivability network. It carries both routine operational traffic and emergency-response traffic. </w:t>
      </w:r>
    </w:p>
    <w:p w:rsidR="000C3C3A" w:rsidRDefault="000C3C3A" w:rsidP="008C1E0E">
      <w:pPr>
        <w:pStyle w:val="NormalWeb"/>
        <w:jc w:val="both"/>
      </w:pPr>
    </w:p>
    <w:p w:rsidR="000C3C3A" w:rsidRDefault="000C3C3A" w:rsidP="008C1E0E">
      <w:pPr>
        <w:pStyle w:val="NormalWeb"/>
        <w:jc w:val="both"/>
      </w:pPr>
      <w:r>
        <w:t>NPIX</w:t>
      </w:r>
    </w:p>
    <w:p w:rsidR="000C3C3A" w:rsidRDefault="000C3C3A" w:rsidP="008C1E0E">
      <w:pPr>
        <w:pStyle w:val="NormalWeb"/>
        <w:jc w:val="both"/>
      </w:pPr>
      <w:r>
        <w:rPr>
          <w:noProof/>
        </w:rPr>
        <w:drawing>
          <wp:inline distT="0" distB="0" distL="0" distR="0">
            <wp:extent cx="5943600" cy="2085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11437" b="24340"/>
                    <a:stretch>
                      <a:fillRect/>
                    </a:stretch>
                  </pic:blipFill>
                  <pic:spPr bwMode="auto">
                    <a:xfrm>
                      <a:off x="0" y="0"/>
                      <a:ext cx="5943600" cy="2085975"/>
                    </a:xfrm>
                    <a:prstGeom prst="rect">
                      <a:avLst/>
                    </a:prstGeom>
                    <a:noFill/>
                    <a:ln w="9525">
                      <a:noFill/>
                      <a:miter lim="800000"/>
                      <a:headEnd/>
                      <a:tailEnd/>
                    </a:ln>
                  </pic:spPr>
                </pic:pic>
              </a:graphicData>
            </a:graphic>
          </wp:inline>
        </w:drawing>
      </w:r>
    </w:p>
    <w:p w:rsidR="00FB4687" w:rsidRDefault="00FB4687" w:rsidP="008C1E0E">
      <w:pPr>
        <w:jc w:val="both"/>
      </w:pPr>
    </w:p>
    <w:sectPr w:rsidR="00FB4687" w:rsidSect="00FF7C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4687"/>
    <w:rsid w:val="0000086A"/>
    <w:rsid w:val="000024B6"/>
    <w:rsid w:val="00011C29"/>
    <w:rsid w:val="000123C9"/>
    <w:rsid w:val="00013901"/>
    <w:rsid w:val="00014CBA"/>
    <w:rsid w:val="00016567"/>
    <w:rsid w:val="0002168C"/>
    <w:rsid w:val="0002261C"/>
    <w:rsid w:val="00024C5C"/>
    <w:rsid w:val="00027752"/>
    <w:rsid w:val="000305AD"/>
    <w:rsid w:val="00041BE8"/>
    <w:rsid w:val="0004465A"/>
    <w:rsid w:val="00044DFC"/>
    <w:rsid w:val="000450E3"/>
    <w:rsid w:val="0005075E"/>
    <w:rsid w:val="00050E9A"/>
    <w:rsid w:val="00053DC5"/>
    <w:rsid w:val="0006102A"/>
    <w:rsid w:val="0007099D"/>
    <w:rsid w:val="00075F70"/>
    <w:rsid w:val="00076898"/>
    <w:rsid w:val="00080574"/>
    <w:rsid w:val="000854EB"/>
    <w:rsid w:val="0008562E"/>
    <w:rsid w:val="00090D00"/>
    <w:rsid w:val="00091930"/>
    <w:rsid w:val="000934DE"/>
    <w:rsid w:val="00094637"/>
    <w:rsid w:val="000951E3"/>
    <w:rsid w:val="00097546"/>
    <w:rsid w:val="000977C0"/>
    <w:rsid w:val="000977E9"/>
    <w:rsid w:val="000A1234"/>
    <w:rsid w:val="000A5ECE"/>
    <w:rsid w:val="000A7C2C"/>
    <w:rsid w:val="000B07A0"/>
    <w:rsid w:val="000B2513"/>
    <w:rsid w:val="000B267E"/>
    <w:rsid w:val="000B4FD6"/>
    <w:rsid w:val="000B5EA1"/>
    <w:rsid w:val="000B5FA2"/>
    <w:rsid w:val="000C3C3A"/>
    <w:rsid w:val="000C4E68"/>
    <w:rsid w:val="000C6163"/>
    <w:rsid w:val="000D0459"/>
    <w:rsid w:val="000D1310"/>
    <w:rsid w:val="000D2922"/>
    <w:rsid w:val="000D3504"/>
    <w:rsid w:val="000D490E"/>
    <w:rsid w:val="000D791E"/>
    <w:rsid w:val="000E15A4"/>
    <w:rsid w:val="000E173C"/>
    <w:rsid w:val="000E1D99"/>
    <w:rsid w:val="000E3ACD"/>
    <w:rsid w:val="000E7FC0"/>
    <w:rsid w:val="000F05D0"/>
    <w:rsid w:val="000F061F"/>
    <w:rsid w:val="000F097F"/>
    <w:rsid w:val="000F2C39"/>
    <w:rsid w:val="000F62D8"/>
    <w:rsid w:val="000F6BF4"/>
    <w:rsid w:val="000F6CC7"/>
    <w:rsid w:val="000F74C4"/>
    <w:rsid w:val="00102650"/>
    <w:rsid w:val="00110523"/>
    <w:rsid w:val="00111AF7"/>
    <w:rsid w:val="001125B3"/>
    <w:rsid w:val="00115415"/>
    <w:rsid w:val="001166DF"/>
    <w:rsid w:val="00117698"/>
    <w:rsid w:val="00117D15"/>
    <w:rsid w:val="00125D91"/>
    <w:rsid w:val="00127328"/>
    <w:rsid w:val="00127BC8"/>
    <w:rsid w:val="00127C3F"/>
    <w:rsid w:val="00130883"/>
    <w:rsid w:val="00132176"/>
    <w:rsid w:val="001336BF"/>
    <w:rsid w:val="00134A35"/>
    <w:rsid w:val="00134E64"/>
    <w:rsid w:val="00135770"/>
    <w:rsid w:val="00135B44"/>
    <w:rsid w:val="00135C17"/>
    <w:rsid w:val="00137567"/>
    <w:rsid w:val="00145B05"/>
    <w:rsid w:val="001537D3"/>
    <w:rsid w:val="00154904"/>
    <w:rsid w:val="0015627D"/>
    <w:rsid w:val="00157041"/>
    <w:rsid w:val="00157825"/>
    <w:rsid w:val="001608E4"/>
    <w:rsid w:val="0016780B"/>
    <w:rsid w:val="00170251"/>
    <w:rsid w:val="00172514"/>
    <w:rsid w:val="00173A9A"/>
    <w:rsid w:val="00174DC8"/>
    <w:rsid w:val="00181466"/>
    <w:rsid w:val="00181923"/>
    <w:rsid w:val="00181A5E"/>
    <w:rsid w:val="001829CF"/>
    <w:rsid w:val="0019317B"/>
    <w:rsid w:val="0019350A"/>
    <w:rsid w:val="001952C5"/>
    <w:rsid w:val="00195382"/>
    <w:rsid w:val="00196A9C"/>
    <w:rsid w:val="0019782A"/>
    <w:rsid w:val="001A7D34"/>
    <w:rsid w:val="001B037F"/>
    <w:rsid w:val="001B0FEA"/>
    <w:rsid w:val="001B237F"/>
    <w:rsid w:val="001B263F"/>
    <w:rsid w:val="001B4F29"/>
    <w:rsid w:val="001B6538"/>
    <w:rsid w:val="001B6782"/>
    <w:rsid w:val="001C01DC"/>
    <w:rsid w:val="001C103F"/>
    <w:rsid w:val="001C4D01"/>
    <w:rsid w:val="001D1783"/>
    <w:rsid w:val="001D6FD6"/>
    <w:rsid w:val="001E0463"/>
    <w:rsid w:val="001E5442"/>
    <w:rsid w:val="001E79D2"/>
    <w:rsid w:val="002003EB"/>
    <w:rsid w:val="00200704"/>
    <w:rsid w:val="002032F1"/>
    <w:rsid w:val="0020390B"/>
    <w:rsid w:val="00206049"/>
    <w:rsid w:val="002060CD"/>
    <w:rsid w:val="002061E2"/>
    <w:rsid w:val="00206A08"/>
    <w:rsid w:val="002167B0"/>
    <w:rsid w:val="00220B62"/>
    <w:rsid w:val="00225553"/>
    <w:rsid w:val="00225809"/>
    <w:rsid w:val="0023284A"/>
    <w:rsid w:val="0023403F"/>
    <w:rsid w:val="0024373E"/>
    <w:rsid w:val="00244928"/>
    <w:rsid w:val="002461F1"/>
    <w:rsid w:val="0024690C"/>
    <w:rsid w:val="00254AB8"/>
    <w:rsid w:val="00254DD2"/>
    <w:rsid w:val="00257281"/>
    <w:rsid w:val="002623A6"/>
    <w:rsid w:val="00262902"/>
    <w:rsid w:val="00263CB4"/>
    <w:rsid w:val="00264230"/>
    <w:rsid w:val="002643A6"/>
    <w:rsid w:val="00266FBA"/>
    <w:rsid w:val="00267871"/>
    <w:rsid w:val="00267D90"/>
    <w:rsid w:val="00270665"/>
    <w:rsid w:val="002713E7"/>
    <w:rsid w:val="00274D46"/>
    <w:rsid w:val="00283804"/>
    <w:rsid w:val="00294664"/>
    <w:rsid w:val="002973E1"/>
    <w:rsid w:val="002A0A2B"/>
    <w:rsid w:val="002A1E7B"/>
    <w:rsid w:val="002A288B"/>
    <w:rsid w:val="002A3C18"/>
    <w:rsid w:val="002A616C"/>
    <w:rsid w:val="002A63F2"/>
    <w:rsid w:val="002A6F5B"/>
    <w:rsid w:val="002A7A92"/>
    <w:rsid w:val="002B1B77"/>
    <w:rsid w:val="002B1FA8"/>
    <w:rsid w:val="002B2CC2"/>
    <w:rsid w:val="002B35C2"/>
    <w:rsid w:val="002B4BDE"/>
    <w:rsid w:val="002B52DD"/>
    <w:rsid w:val="002C0167"/>
    <w:rsid w:val="002C250B"/>
    <w:rsid w:val="002C2D71"/>
    <w:rsid w:val="002C5C95"/>
    <w:rsid w:val="002C5D97"/>
    <w:rsid w:val="002C733E"/>
    <w:rsid w:val="002D0314"/>
    <w:rsid w:val="002D074D"/>
    <w:rsid w:val="002D1BA9"/>
    <w:rsid w:val="002D7F58"/>
    <w:rsid w:val="002E0205"/>
    <w:rsid w:val="002E0942"/>
    <w:rsid w:val="002E0F74"/>
    <w:rsid w:val="002E3206"/>
    <w:rsid w:val="002E3C04"/>
    <w:rsid w:val="002E4022"/>
    <w:rsid w:val="002E5409"/>
    <w:rsid w:val="002E54F2"/>
    <w:rsid w:val="002E55B1"/>
    <w:rsid w:val="002E6892"/>
    <w:rsid w:val="002E6EEB"/>
    <w:rsid w:val="002E7443"/>
    <w:rsid w:val="002E7453"/>
    <w:rsid w:val="002F36F6"/>
    <w:rsid w:val="002F7BE6"/>
    <w:rsid w:val="00301059"/>
    <w:rsid w:val="00302B5E"/>
    <w:rsid w:val="003032FB"/>
    <w:rsid w:val="00304A22"/>
    <w:rsid w:val="00312F9F"/>
    <w:rsid w:val="00313DAE"/>
    <w:rsid w:val="00316B8B"/>
    <w:rsid w:val="003172C4"/>
    <w:rsid w:val="003208AB"/>
    <w:rsid w:val="0032103D"/>
    <w:rsid w:val="00322AF2"/>
    <w:rsid w:val="00323080"/>
    <w:rsid w:val="00326C9E"/>
    <w:rsid w:val="003273DE"/>
    <w:rsid w:val="00330164"/>
    <w:rsid w:val="003302B6"/>
    <w:rsid w:val="003304F0"/>
    <w:rsid w:val="00330E34"/>
    <w:rsid w:val="00332D7B"/>
    <w:rsid w:val="00334261"/>
    <w:rsid w:val="00340200"/>
    <w:rsid w:val="00341E22"/>
    <w:rsid w:val="0034249A"/>
    <w:rsid w:val="003435E4"/>
    <w:rsid w:val="00346E44"/>
    <w:rsid w:val="00350124"/>
    <w:rsid w:val="0035616E"/>
    <w:rsid w:val="00356ADE"/>
    <w:rsid w:val="00356CF7"/>
    <w:rsid w:val="003570CD"/>
    <w:rsid w:val="003571DC"/>
    <w:rsid w:val="00357C2C"/>
    <w:rsid w:val="00361DB9"/>
    <w:rsid w:val="003644AE"/>
    <w:rsid w:val="003718DD"/>
    <w:rsid w:val="003729A0"/>
    <w:rsid w:val="00372F07"/>
    <w:rsid w:val="00376F9A"/>
    <w:rsid w:val="003819E3"/>
    <w:rsid w:val="00385653"/>
    <w:rsid w:val="003863AC"/>
    <w:rsid w:val="00386481"/>
    <w:rsid w:val="00387DA5"/>
    <w:rsid w:val="00390158"/>
    <w:rsid w:val="00390EE3"/>
    <w:rsid w:val="00392861"/>
    <w:rsid w:val="0039438D"/>
    <w:rsid w:val="00394539"/>
    <w:rsid w:val="003955AA"/>
    <w:rsid w:val="003A49D2"/>
    <w:rsid w:val="003A670D"/>
    <w:rsid w:val="003A6724"/>
    <w:rsid w:val="003A747D"/>
    <w:rsid w:val="003B4F29"/>
    <w:rsid w:val="003B6C93"/>
    <w:rsid w:val="003C705F"/>
    <w:rsid w:val="003D00FA"/>
    <w:rsid w:val="003D09F5"/>
    <w:rsid w:val="003D202B"/>
    <w:rsid w:val="003D40E0"/>
    <w:rsid w:val="003D6071"/>
    <w:rsid w:val="003E03D9"/>
    <w:rsid w:val="003E0DFE"/>
    <w:rsid w:val="003E2784"/>
    <w:rsid w:val="003E62C9"/>
    <w:rsid w:val="003F053B"/>
    <w:rsid w:val="003F642C"/>
    <w:rsid w:val="003F77A7"/>
    <w:rsid w:val="0040279E"/>
    <w:rsid w:val="004117E0"/>
    <w:rsid w:val="00413D75"/>
    <w:rsid w:val="0041401C"/>
    <w:rsid w:val="00415131"/>
    <w:rsid w:val="00416E7A"/>
    <w:rsid w:val="00416F46"/>
    <w:rsid w:val="00417647"/>
    <w:rsid w:val="00421425"/>
    <w:rsid w:val="00421C9A"/>
    <w:rsid w:val="00424D2C"/>
    <w:rsid w:val="004250FA"/>
    <w:rsid w:val="0042583A"/>
    <w:rsid w:val="00430FC7"/>
    <w:rsid w:val="00434268"/>
    <w:rsid w:val="00435F0E"/>
    <w:rsid w:val="00437FD2"/>
    <w:rsid w:val="00442F97"/>
    <w:rsid w:val="004459DB"/>
    <w:rsid w:val="004476A3"/>
    <w:rsid w:val="0044778F"/>
    <w:rsid w:val="00447BAB"/>
    <w:rsid w:val="00451DD9"/>
    <w:rsid w:val="004526DA"/>
    <w:rsid w:val="00455BC6"/>
    <w:rsid w:val="00460290"/>
    <w:rsid w:val="0047025A"/>
    <w:rsid w:val="00470618"/>
    <w:rsid w:val="00471BA0"/>
    <w:rsid w:val="0047329C"/>
    <w:rsid w:val="00473C92"/>
    <w:rsid w:val="004747E0"/>
    <w:rsid w:val="00475865"/>
    <w:rsid w:val="0047790C"/>
    <w:rsid w:val="0048114B"/>
    <w:rsid w:val="00481E6C"/>
    <w:rsid w:val="0048334A"/>
    <w:rsid w:val="00485A25"/>
    <w:rsid w:val="00487DDC"/>
    <w:rsid w:val="00490E89"/>
    <w:rsid w:val="0049315E"/>
    <w:rsid w:val="004946D2"/>
    <w:rsid w:val="00494A24"/>
    <w:rsid w:val="00495C41"/>
    <w:rsid w:val="00496059"/>
    <w:rsid w:val="00497402"/>
    <w:rsid w:val="004A4AC1"/>
    <w:rsid w:val="004A7AFA"/>
    <w:rsid w:val="004B270B"/>
    <w:rsid w:val="004B2762"/>
    <w:rsid w:val="004B2A08"/>
    <w:rsid w:val="004B54E6"/>
    <w:rsid w:val="004B6C8E"/>
    <w:rsid w:val="004C480E"/>
    <w:rsid w:val="004C5487"/>
    <w:rsid w:val="004C54A9"/>
    <w:rsid w:val="004C60E5"/>
    <w:rsid w:val="004D1158"/>
    <w:rsid w:val="004D1A9D"/>
    <w:rsid w:val="004D5769"/>
    <w:rsid w:val="004D75FD"/>
    <w:rsid w:val="004D7835"/>
    <w:rsid w:val="004E3F0F"/>
    <w:rsid w:val="004E7BAA"/>
    <w:rsid w:val="004F05BE"/>
    <w:rsid w:val="004F15D1"/>
    <w:rsid w:val="004F1BE4"/>
    <w:rsid w:val="004F2434"/>
    <w:rsid w:val="004F347B"/>
    <w:rsid w:val="004F3CF6"/>
    <w:rsid w:val="004F3DF0"/>
    <w:rsid w:val="004F4EB7"/>
    <w:rsid w:val="004F59A7"/>
    <w:rsid w:val="004F700E"/>
    <w:rsid w:val="004F79DD"/>
    <w:rsid w:val="00502D77"/>
    <w:rsid w:val="0050439D"/>
    <w:rsid w:val="00506BF4"/>
    <w:rsid w:val="00513967"/>
    <w:rsid w:val="00516D52"/>
    <w:rsid w:val="005176F2"/>
    <w:rsid w:val="00520C13"/>
    <w:rsid w:val="005269F5"/>
    <w:rsid w:val="00531F01"/>
    <w:rsid w:val="00534A26"/>
    <w:rsid w:val="00534FBB"/>
    <w:rsid w:val="005359A2"/>
    <w:rsid w:val="00536C50"/>
    <w:rsid w:val="00537E4E"/>
    <w:rsid w:val="00541FE1"/>
    <w:rsid w:val="00545772"/>
    <w:rsid w:val="00550FF7"/>
    <w:rsid w:val="00551C9F"/>
    <w:rsid w:val="00551E55"/>
    <w:rsid w:val="005558DE"/>
    <w:rsid w:val="00555FB2"/>
    <w:rsid w:val="00557579"/>
    <w:rsid w:val="00560B3D"/>
    <w:rsid w:val="005612F2"/>
    <w:rsid w:val="00562382"/>
    <w:rsid w:val="005625EF"/>
    <w:rsid w:val="0056400A"/>
    <w:rsid w:val="005642C5"/>
    <w:rsid w:val="00566973"/>
    <w:rsid w:val="0056779D"/>
    <w:rsid w:val="00571356"/>
    <w:rsid w:val="00574026"/>
    <w:rsid w:val="0057477C"/>
    <w:rsid w:val="0057547D"/>
    <w:rsid w:val="00575BD9"/>
    <w:rsid w:val="005803B7"/>
    <w:rsid w:val="00580ECE"/>
    <w:rsid w:val="00582B0C"/>
    <w:rsid w:val="00586E4B"/>
    <w:rsid w:val="0058771F"/>
    <w:rsid w:val="005879AD"/>
    <w:rsid w:val="005900BC"/>
    <w:rsid w:val="005900C6"/>
    <w:rsid w:val="0059142A"/>
    <w:rsid w:val="00592288"/>
    <w:rsid w:val="00595101"/>
    <w:rsid w:val="005966DE"/>
    <w:rsid w:val="0059680F"/>
    <w:rsid w:val="00596999"/>
    <w:rsid w:val="005A4A04"/>
    <w:rsid w:val="005A603B"/>
    <w:rsid w:val="005A6117"/>
    <w:rsid w:val="005A6CEB"/>
    <w:rsid w:val="005A749A"/>
    <w:rsid w:val="005A78C5"/>
    <w:rsid w:val="005B17E0"/>
    <w:rsid w:val="005B365B"/>
    <w:rsid w:val="005B3936"/>
    <w:rsid w:val="005B42C6"/>
    <w:rsid w:val="005B4C60"/>
    <w:rsid w:val="005B6CFF"/>
    <w:rsid w:val="005C3453"/>
    <w:rsid w:val="005D0EF7"/>
    <w:rsid w:val="005D2B97"/>
    <w:rsid w:val="005D577C"/>
    <w:rsid w:val="005E1F6F"/>
    <w:rsid w:val="005E2648"/>
    <w:rsid w:val="005E32B5"/>
    <w:rsid w:val="005E36D7"/>
    <w:rsid w:val="005E405E"/>
    <w:rsid w:val="005E52AC"/>
    <w:rsid w:val="005F0A59"/>
    <w:rsid w:val="005F1AE2"/>
    <w:rsid w:val="005F306B"/>
    <w:rsid w:val="005F3282"/>
    <w:rsid w:val="005F4283"/>
    <w:rsid w:val="006009EE"/>
    <w:rsid w:val="00602295"/>
    <w:rsid w:val="006022B3"/>
    <w:rsid w:val="006102EB"/>
    <w:rsid w:val="00610A0B"/>
    <w:rsid w:val="00610F07"/>
    <w:rsid w:val="006111B3"/>
    <w:rsid w:val="0061309B"/>
    <w:rsid w:val="006227ED"/>
    <w:rsid w:val="00630B3C"/>
    <w:rsid w:val="00631A61"/>
    <w:rsid w:val="00632D50"/>
    <w:rsid w:val="00633F3B"/>
    <w:rsid w:val="00633FB6"/>
    <w:rsid w:val="006359AF"/>
    <w:rsid w:val="00640EF8"/>
    <w:rsid w:val="00642F20"/>
    <w:rsid w:val="006465DD"/>
    <w:rsid w:val="00650FB6"/>
    <w:rsid w:val="0065210F"/>
    <w:rsid w:val="00653E45"/>
    <w:rsid w:val="00655531"/>
    <w:rsid w:val="0066065D"/>
    <w:rsid w:val="00662596"/>
    <w:rsid w:val="00663389"/>
    <w:rsid w:val="006725E5"/>
    <w:rsid w:val="006726EA"/>
    <w:rsid w:val="00672B57"/>
    <w:rsid w:val="00674B91"/>
    <w:rsid w:val="00675ABC"/>
    <w:rsid w:val="00681ECC"/>
    <w:rsid w:val="0068674B"/>
    <w:rsid w:val="00686B6B"/>
    <w:rsid w:val="006871C1"/>
    <w:rsid w:val="0068755F"/>
    <w:rsid w:val="00690D69"/>
    <w:rsid w:val="006950AE"/>
    <w:rsid w:val="00695EA9"/>
    <w:rsid w:val="006A0418"/>
    <w:rsid w:val="006A09D0"/>
    <w:rsid w:val="006A29C1"/>
    <w:rsid w:val="006A2E43"/>
    <w:rsid w:val="006A2EC0"/>
    <w:rsid w:val="006A3002"/>
    <w:rsid w:val="006A6E77"/>
    <w:rsid w:val="006B2770"/>
    <w:rsid w:val="006B7EC4"/>
    <w:rsid w:val="006C0EB5"/>
    <w:rsid w:val="006C17DC"/>
    <w:rsid w:val="006C1848"/>
    <w:rsid w:val="006C41D1"/>
    <w:rsid w:val="006C4364"/>
    <w:rsid w:val="006C4795"/>
    <w:rsid w:val="006C731A"/>
    <w:rsid w:val="006C73E7"/>
    <w:rsid w:val="006C7D8F"/>
    <w:rsid w:val="006D0107"/>
    <w:rsid w:val="006D1041"/>
    <w:rsid w:val="006D191E"/>
    <w:rsid w:val="006D274E"/>
    <w:rsid w:val="006D27FE"/>
    <w:rsid w:val="006E2A96"/>
    <w:rsid w:val="006E621A"/>
    <w:rsid w:val="006E72DB"/>
    <w:rsid w:val="006F0335"/>
    <w:rsid w:val="006F12F9"/>
    <w:rsid w:val="006F2B02"/>
    <w:rsid w:val="006F3682"/>
    <w:rsid w:val="00705033"/>
    <w:rsid w:val="00705955"/>
    <w:rsid w:val="00705FF2"/>
    <w:rsid w:val="0071114C"/>
    <w:rsid w:val="00713CBB"/>
    <w:rsid w:val="00722460"/>
    <w:rsid w:val="0072310C"/>
    <w:rsid w:val="00724CE5"/>
    <w:rsid w:val="00724D47"/>
    <w:rsid w:val="00725595"/>
    <w:rsid w:val="007265FE"/>
    <w:rsid w:val="00726DC6"/>
    <w:rsid w:val="0072749D"/>
    <w:rsid w:val="00727C4D"/>
    <w:rsid w:val="00730F78"/>
    <w:rsid w:val="00733615"/>
    <w:rsid w:val="007355FD"/>
    <w:rsid w:val="0073784E"/>
    <w:rsid w:val="007407BD"/>
    <w:rsid w:val="007426FE"/>
    <w:rsid w:val="00754567"/>
    <w:rsid w:val="00754BA9"/>
    <w:rsid w:val="0075586B"/>
    <w:rsid w:val="00755B2A"/>
    <w:rsid w:val="00757D6C"/>
    <w:rsid w:val="00760514"/>
    <w:rsid w:val="007636DA"/>
    <w:rsid w:val="007638FA"/>
    <w:rsid w:val="00766B82"/>
    <w:rsid w:val="007723C1"/>
    <w:rsid w:val="00775E4B"/>
    <w:rsid w:val="00776DD6"/>
    <w:rsid w:val="0078001F"/>
    <w:rsid w:val="007804EE"/>
    <w:rsid w:val="00783494"/>
    <w:rsid w:val="007842C6"/>
    <w:rsid w:val="00785BD3"/>
    <w:rsid w:val="00792040"/>
    <w:rsid w:val="00794DB9"/>
    <w:rsid w:val="007A0189"/>
    <w:rsid w:val="007A056E"/>
    <w:rsid w:val="007A10A9"/>
    <w:rsid w:val="007A153F"/>
    <w:rsid w:val="007A3125"/>
    <w:rsid w:val="007A5621"/>
    <w:rsid w:val="007A5DF3"/>
    <w:rsid w:val="007A772B"/>
    <w:rsid w:val="007B0D21"/>
    <w:rsid w:val="007B25ED"/>
    <w:rsid w:val="007B55AA"/>
    <w:rsid w:val="007B6409"/>
    <w:rsid w:val="007C02E7"/>
    <w:rsid w:val="007C07B2"/>
    <w:rsid w:val="007C1CDE"/>
    <w:rsid w:val="007C4565"/>
    <w:rsid w:val="007C5EB0"/>
    <w:rsid w:val="007C6165"/>
    <w:rsid w:val="007C65E0"/>
    <w:rsid w:val="007D0949"/>
    <w:rsid w:val="007D3652"/>
    <w:rsid w:val="007D3921"/>
    <w:rsid w:val="007D40F5"/>
    <w:rsid w:val="007D4EDD"/>
    <w:rsid w:val="007D550D"/>
    <w:rsid w:val="007E1C03"/>
    <w:rsid w:val="007E317C"/>
    <w:rsid w:val="007E47DB"/>
    <w:rsid w:val="007E7032"/>
    <w:rsid w:val="007E77B0"/>
    <w:rsid w:val="007F08B7"/>
    <w:rsid w:val="007F18CE"/>
    <w:rsid w:val="007F1D94"/>
    <w:rsid w:val="007F1EEB"/>
    <w:rsid w:val="007F231E"/>
    <w:rsid w:val="007F431F"/>
    <w:rsid w:val="007F451A"/>
    <w:rsid w:val="007F4C2D"/>
    <w:rsid w:val="007F7F04"/>
    <w:rsid w:val="00800E38"/>
    <w:rsid w:val="00801BC2"/>
    <w:rsid w:val="00803671"/>
    <w:rsid w:val="008040E8"/>
    <w:rsid w:val="008059F1"/>
    <w:rsid w:val="008068A9"/>
    <w:rsid w:val="00810D21"/>
    <w:rsid w:val="008138FD"/>
    <w:rsid w:val="00816BCD"/>
    <w:rsid w:val="00816C44"/>
    <w:rsid w:val="00817B8E"/>
    <w:rsid w:val="00821EFB"/>
    <w:rsid w:val="008232C6"/>
    <w:rsid w:val="0082571D"/>
    <w:rsid w:val="00830200"/>
    <w:rsid w:val="008361B6"/>
    <w:rsid w:val="00840AA0"/>
    <w:rsid w:val="00841EE6"/>
    <w:rsid w:val="00841FE7"/>
    <w:rsid w:val="00841FFB"/>
    <w:rsid w:val="0084277A"/>
    <w:rsid w:val="008448D5"/>
    <w:rsid w:val="00845EA1"/>
    <w:rsid w:val="00850241"/>
    <w:rsid w:val="00854630"/>
    <w:rsid w:val="008563D0"/>
    <w:rsid w:val="008614C9"/>
    <w:rsid w:val="0086640E"/>
    <w:rsid w:val="008676D6"/>
    <w:rsid w:val="00867F4B"/>
    <w:rsid w:val="00880098"/>
    <w:rsid w:val="008801B6"/>
    <w:rsid w:val="00882EEB"/>
    <w:rsid w:val="00885115"/>
    <w:rsid w:val="0088536E"/>
    <w:rsid w:val="008859D3"/>
    <w:rsid w:val="00891EB4"/>
    <w:rsid w:val="008927B2"/>
    <w:rsid w:val="008935D1"/>
    <w:rsid w:val="00895754"/>
    <w:rsid w:val="008A2206"/>
    <w:rsid w:val="008A360D"/>
    <w:rsid w:val="008B12C5"/>
    <w:rsid w:val="008B436A"/>
    <w:rsid w:val="008B4996"/>
    <w:rsid w:val="008B4A89"/>
    <w:rsid w:val="008B6705"/>
    <w:rsid w:val="008C1E0E"/>
    <w:rsid w:val="008C2BCC"/>
    <w:rsid w:val="008C5166"/>
    <w:rsid w:val="008D06D7"/>
    <w:rsid w:val="008D23B5"/>
    <w:rsid w:val="008D4C5D"/>
    <w:rsid w:val="008D5659"/>
    <w:rsid w:val="008D6BA8"/>
    <w:rsid w:val="008D6FEE"/>
    <w:rsid w:val="008E0003"/>
    <w:rsid w:val="008E346E"/>
    <w:rsid w:val="008E3DA4"/>
    <w:rsid w:val="008E400A"/>
    <w:rsid w:val="008E49EE"/>
    <w:rsid w:val="008E65F7"/>
    <w:rsid w:val="008F116B"/>
    <w:rsid w:val="008F1ADC"/>
    <w:rsid w:val="008F5F6F"/>
    <w:rsid w:val="00901335"/>
    <w:rsid w:val="00901776"/>
    <w:rsid w:val="00907660"/>
    <w:rsid w:val="00911686"/>
    <w:rsid w:val="00912601"/>
    <w:rsid w:val="00913C72"/>
    <w:rsid w:val="00914CFC"/>
    <w:rsid w:val="0092046C"/>
    <w:rsid w:val="0092059C"/>
    <w:rsid w:val="00920645"/>
    <w:rsid w:val="00922737"/>
    <w:rsid w:val="00923320"/>
    <w:rsid w:val="00926CEE"/>
    <w:rsid w:val="00927552"/>
    <w:rsid w:val="0093038A"/>
    <w:rsid w:val="009342E0"/>
    <w:rsid w:val="00934DEB"/>
    <w:rsid w:val="0093632B"/>
    <w:rsid w:val="00936C2C"/>
    <w:rsid w:val="00940DDE"/>
    <w:rsid w:val="009427E0"/>
    <w:rsid w:val="0094498E"/>
    <w:rsid w:val="009501B8"/>
    <w:rsid w:val="00960245"/>
    <w:rsid w:val="009623EF"/>
    <w:rsid w:val="00962910"/>
    <w:rsid w:val="00962AC8"/>
    <w:rsid w:val="00963831"/>
    <w:rsid w:val="009657FB"/>
    <w:rsid w:val="00967615"/>
    <w:rsid w:val="0097026B"/>
    <w:rsid w:val="009718C0"/>
    <w:rsid w:val="00971E9E"/>
    <w:rsid w:val="00972C47"/>
    <w:rsid w:val="00974B80"/>
    <w:rsid w:val="009755AD"/>
    <w:rsid w:val="00975E6D"/>
    <w:rsid w:val="0097756A"/>
    <w:rsid w:val="00981CF1"/>
    <w:rsid w:val="009822AB"/>
    <w:rsid w:val="00985998"/>
    <w:rsid w:val="00990A78"/>
    <w:rsid w:val="00991053"/>
    <w:rsid w:val="00991C45"/>
    <w:rsid w:val="0099229F"/>
    <w:rsid w:val="009941D4"/>
    <w:rsid w:val="00995A82"/>
    <w:rsid w:val="00996AED"/>
    <w:rsid w:val="009972E5"/>
    <w:rsid w:val="00997A54"/>
    <w:rsid w:val="009A0141"/>
    <w:rsid w:val="009A0B09"/>
    <w:rsid w:val="009A194D"/>
    <w:rsid w:val="009A4437"/>
    <w:rsid w:val="009A5144"/>
    <w:rsid w:val="009A6830"/>
    <w:rsid w:val="009B30AA"/>
    <w:rsid w:val="009B4DA9"/>
    <w:rsid w:val="009B4F40"/>
    <w:rsid w:val="009B51F0"/>
    <w:rsid w:val="009B59F0"/>
    <w:rsid w:val="009B5DBC"/>
    <w:rsid w:val="009B6868"/>
    <w:rsid w:val="009C0F80"/>
    <w:rsid w:val="009C406E"/>
    <w:rsid w:val="009C48E4"/>
    <w:rsid w:val="009C4F5C"/>
    <w:rsid w:val="009C558B"/>
    <w:rsid w:val="009C6121"/>
    <w:rsid w:val="009D1963"/>
    <w:rsid w:val="009D1F01"/>
    <w:rsid w:val="009D5241"/>
    <w:rsid w:val="009D632E"/>
    <w:rsid w:val="009E1163"/>
    <w:rsid w:val="009E540D"/>
    <w:rsid w:val="009F1993"/>
    <w:rsid w:val="009F1BE8"/>
    <w:rsid w:val="009F2FDC"/>
    <w:rsid w:val="009F41EE"/>
    <w:rsid w:val="009F52D4"/>
    <w:rsid w:val="009F6AEC"/>
    <w:rsid w:val="00A0061C"/>
    <w:rsid w:val="00A0142E"/>
    <w:rsid w:val="00A0275A"/>
    <w:rsid w:val="00A036E0"/>
    <w:rsid w:val="00A050E9"/>
    <w:rsid w:val="00A05959"/>
    <w:rsid w:val="00A05AB4"/>
    <w:rsid w:val="00A11F6C"/>
    <w:rsid w:val="00A20307"/>
    <w:rsid w:val="00A20644"/>
    <w:rsid w:val="00A23965"/>
    <w:rsid w:val="00A24990"/>
    <w:rsid w:val="00A25E1C"/>
    <w:rsid w:val="00A265AF"/>
    <w:rsid w:val="00A26ACB"/>
    <w:rsid w:val="00A348BE"/>
    <w:rsid w:val="00A34A36"/>
    <w:rsid w:val="00A35937"/>
    <w:rsid w:val="00A4052F"/>
    <w:rsid w:val="00A40562"/>
    <w:rsid w:val="00A41CBD"/>
    <w:rsid w:val="00A451F3"/>
    <w:rsid w:val="00A458FA"/>
    <w:rsid w:val="00A464ED"/>
    <w:rsid w:val="00A466F1"/>
    <w:rsid w:val="00A46F7C"/>
    <w:rsid w:val="00A47751"/>
    <w:rsid w:val="00A500B7"/>
    <w:rsid w:val="00A50FD8"/>
    <w:rsid w:val="00A52275"/>
    <w:rsid w:val="00A52D08"/>
    <w:rsid w:val="00A53261"/>
    <w:rsid w:val="00A539AE"/>
    <w:rsid w:val="00A53EE2"/>
    <w:rsid w:val="00A53F7F"/>
    <w:rsid w:val="00A54056"/>
    <w:rsid w:val="00A54AA3"/>
    <w:rsid w:val="00A561C9"/>
    <w:rsid w:val="00A565EA"/>
    <w:rsid w:val="00A6480B"/>
    <w:rsid w:val="00A65493"/>
    <w:rsid w:val="00A658E3"/>
    <w:rsid w:val="00A67EC1"/>
    <w:rsid w:val="00A70247"/>
    <w:rsid w:val="00A708D0"/>
    <w:rsid w:val="00A7307B"/>
    <w:rsid w:val="00A73CC8"/>
    <w:rsid w:val="00A811CD"/>
    <w:rsid w:val="00A82885"/>
    <w:rsid w:val="00A82A1C"/>
    <w:rsid w:val="00A84842"/>
    <w:rsid w:val="00A848E0"/>
    <w:rsid w:val="00A86BD2"/>
    <w:rsid w:val="00A87B18"/>
    <w:rsid w:val="00A91283"/>
    <w:rsid w:val="00A91B5E"/>
    <w:rsid w:val="00A922D2"/>
    <w:rsid w:val="00A9351C"/>
    <w:rsid w:val="00A93C3F"/>
    <w:rsid w:val="00A95B40"/>
    <w:rsid w:val="00A96679"/>
    <w:rsid w:val="00A9667A"/>
    <w:rsid w:val="00A96C07"/>
    <w:rsid w:val="00AA0CBA"/>
    <w:rsid w:val="00AA27E1"/>
    <w:rsid w:val="00AA293C"/>
    <w:rsid w:val="00AA301A"/>
    <w:rsid w:val="00AA6093"/>
    <w:rsid w:val="00AB2796"/>
    <w:rsid w:val="00AB2ABA"/>
    <w:rsid w:val="00AB2F27"/>
    <w:rsid w:val="00AB4A9D"/>
    <w:rsid w:val="00AB6932"/>
    <w:rsid w:val="00AC04B3"/>
    <w:rsid w:val="00AC4430"/>
    <w:rsid w:val="00AC546C"/>
    <w:rsid w:val="00AC5656"/>
    <w:rsid w:val="00AC64A6"/>
    <w:rsid w:val="00AD4DA3"/>
    <w:rsid w:val="00AD7BE9"/>
    <w:rsid w:val="00AF03AD"/>
    <w:rsid w:val="00AF3BF8"/>
    <w:rsid w:val="00AF52AC"/>
    <w:rsid w:val="00AF5EA3"/>
    <w:rsid w:val="00B02378"/>
    <w:rsid w:val="00B03B2A"/>
    <w:rsid w:val="00B163DD"/>
    <w:rsid w:val="00B1647E"/>
    <w:rsid w:val="00B169E2"/>
    <w:rsid w:val="00B17053"/>
    <w:rsid w:val="00B21755"/>
    <w:rsid w:val="00B309B8"/>
    <w:rsid w:val="00B31772"/>
    <w:rsid w:val="00B32133"/>
    <w:rsid w:val="00B33D7F"/>
    <w:rsid w:val="00B35CB7"/>
    <w:rsid w:val="00B405CD"/>
    <w:rsid w:val="00B40CDD"/>
    <w:rsid w:val="00B410AB"/>
    <w:rsid w:val="00B45D3F"/>
    <w:rsid w:val="00B45F22"/>
    <w:rsid w:val="00B50120"/>
    <w:rsid w:val="00B51341"/>
    <w:rsid w:val="00B515BE"/>
    <w:rsid w:val="00B525CE"/>
    <w:rsid w:val="00B56B7F"/>
    <w:rsid w:val="00B62F90"/>
    <w:rsid w:val="00B63C53"/>
    <w:rsid w:val="00B64451"/>
    <w:rsid w:val="00B64634"/>
    <w:rsid w:val="00B662A8"/>
    <w:rsid w:val="00B66736"/>
    <w:rsid w:val="00B66E04"/>
    <w:rsid w:val="00B6708F"/>
    <w:rsid w:val="00B71506"/>
    <w:rsid w:val="00B72B2E"/>
    <w:rsid w:val="00B73010"/>
    <w:rsid w:val="00B730F3"/>
    <w:rsid w:val="00B74305"/>
    <w:rsid w:val="00B7624F"/>
    <w:rsid w:val="00B76F01"/>
    <w:rsid w:val="00B83FC7"/>
    <w:rsid w:val="00B84729"/>
    <w:rsid w:val="00B85ED9"/>
    <w:rsid w:val="00B869B4"/>
    <w:rsid w:val="00B872AD"/>
    <w:rsid w:val="00B87321"/>
    <w:rsid w:val="00B9570F"/>
    <w:rsid w:val="00B97F82"/>
    <w:rsid w:val="00BA26D7"/>
    <w:rsid w:val="00BA376B"/>
    <w:rsid w:val="00BA4701"/>
    <w:rsid w:val="00BA5145"/>
    <w:rsid w:val="00BA54FC"/>
    <w:rsid w:val="00BA76CF"/>
    <w:rsid w:val="00BB3668"/>
    <w:rsid w:val="00BB5C45"/>
    <w:rsid w:val="00BB6DB2"/>
    <w:rsid w:val="00BC6FD9"/>
    <w:rsid w:val="00BC785F"/>
    <w:rsid w:val="00BC7D72"/>
    <w:rsid w:val="00BD284E"/>
    <w:rsid w:val="00BE1499"/>
    <w:rsid w:val="00BE4FB1"/>
    <w:rsid w:val="00BE5410"/>
    <w:rsid w:val="00BE625E"/>
    <w:rsid w:val="00BF0138"/>
    <w:rsid w:val="00BF1543"/>
    <w:rsid w:val="00BF3511"/>
    <w:rsid w:val="00BF373E"/>
    <w:rsid w:val="00BF42D3"/>
    <w:rsid w:val="00BF7352"/>
    <w:rsid w:val="00C02D4B"/>
    <w:rsid w:val="00C047C8"/>
    <w:rsid w:val="00C04825"/>
    <w:rsid w:val="00C05EEB"/>
    <w:rsid w:val="00C0664A"/>
    <w:rsid w:val="00C11423"/>
    <w:rsid w:val="00C11A7F"/>
    <w:rsid w:val="00C14D67"/>
    <w:rsid w:val="00C15254"/>
    <w:rsid w:val="00C15318"/>
    <w:rsid w:val="00C20F3C"/>
    <w:rsid w:val="00C210CE"/>
    <w:rsid w:val="00C22ADA"/>
    <w:rsid w:val="00C23601"/>
    <w:rsid w:val="00C239DF"/>
    <w:rsid w:val="00C2428D"/>
    <w:rsid w:val="00C253ED"/>
    <w:rsid w:val="00C30C2E"/>
    <w:rsid w:val="00C3572E"/>
    <w:rsid w:val="00C3640C"/>
    <w:rsid w:val="00C40DA6"/>
    <w:rsid w:val="00C45D9B"/>
    <w:rsid w:val="00C5327A"/>
    <w:rsid w:val="00C53C3D"/>
    <w:rsid w:val="00C55FCE"/>
    <w:rsid w:val="00C5691D"/>
    <w:rsid w:val="00C56FD7"/>
    <w:rsid w:val="00C60DD2"/>
    <w:rsid w:val="00C62527"/>
    <w:rsid w:val="00C627DA"/>
    <w:rsid w:val="00C65DAF"/>
    <w:rsid w:val="00C70148"/>
    <w:rsid w:val="00C71507"/>
    <w:rsid w:val="00C72088"/>
    <w:rsid w:val="00C77D91"/>
    <w:rsid w:val="00C817B2"/>
    <w:rsid w:val="00C866E6"/>
    <w:rsid w:val="00C902F1"/>
    <w:rsid w:val="00C90EF2"/>
    <w:rsid w:val="00C9598F"/>
    <w:rsid w:val="00C9638F"/>
    <w:rsid w:val="00CA057B"/>
    <w:rsid w:val="00CA113B"/>
    <w:rsid w:val="00CA5ECB"/>
    <w:rsid w:val="00CA74BA"/>
    <w:rsid w:val="00CB2582"/>
    <w:rsid w:val="00CB6EF2"/>
    <w:rsid w:val="00CB7B79"/>
    <w:rsid w:val="00CB7B7B"/>
    <w:rsid w:val="00CB7BB5"/>
    <w:rsid w:val="00CC091A"/>
    <w:rsid w:val="00CC18D6"/>
    <w:rsid w:val="00CC7241"/>
    <w:rsid w:val="00CC7446"/>
    <w:rsid w:val="00CC7591"/>
    <w:rsid w:val="00CD0432"/>
    <w:rsid w:val="00CD0C87"/>
    <w:rsid w:val="00CD1818"/>
    <w:rsid w:val="00CD60B6"/>
    <w:rsid w:val="00CE4A10"/>
    <w:rsid w:val="00CE508C"/>
    <w:rsid w:val="00CF176A"/>
    <w:rsid w:val="00D01045"/>
    <w:rsid w:val="00D01529"/>
    <w:rsid w:val="00D02680"/>
    <w:rsid w:val="00D047B6"/>
    <w:rsid w:val="00D047C1"/>
    <w:rsid w:val="00D0673A"/>
    <w:rsid w:val="00D06AF1"/>
    <w:rsid w:val="00D16EFE"/>
    <w:rsid w:val="00D177E0"/>
    <w:rsid w:val="00D204B5"/>
    <w:rsid w:val="00D20A1F"/>
    <w:rsid w:val="00D21098"/>
    <w:rsid w:val="00D211CE"/>
    <w:rsid w:val="00D22E0D"/>
    <w:rsid w:val="00D25B73"/>
    <w:rsid w:val="00D26065"/>
    <w:rsid w:val="00D31233"/>
    <w:rsid w:val="00D314C4"/>
    <w:rsid w:val="00D33487"/>
    <w:rsid w:val="00D339D7"/>
    <w:rsid w:val="00D369B6"/>
    <w:rsid w:val="00D41A24"/>
    <w:rsid w:val="00D444D4"/>
    <w:rsid w:val="00D45D37"/>
    <w:rsid w:val="00D52B30"/>
    <w:rsid w:val="00D5337A"/>
    <w:rsid w:val="00D534A2"/>
    <w:rsid w:val="00D56887"/>
    <w:rsid w:val="00D56D1E"/>
    <w:rsid w:val="00D6279C"/>
    <w:rsid w:val="00D63A7B"/>
    <w:rsid w:val="00D67233"/>
    <w:rsid w:val="00D72A71"/>
    <w:rsid w:val="00D73278"/>
    <w:rsid w:val="00D742C9"/>
    <w:rsid w:val="00D7761C"/>
    <w:rsid w:val="00D77867"/>
    <w:rsid w:val="00D812C0"/>
    <w:rsid w:val="00D81E35"/>
    <w:rsid w:val="00D8365C"/>
    <w:rsid w:val="00D83946"/>
    <w:rsid w:val="00D843E8"/>
    <w:rsid w:val="00D85C0F"/>
    <w:rsid w:val="00D86C2E"/>
    <w:rsid w:val="00D87719"/>
    <w:rsid w:val="00D9425F"/>
    <w:rsid w:val="00D9463A"/>
    <w:rsid w:val="00D953CF"/>
    <w:rsid w:val="00D95DB6"/>
    <w:rsid w:val="00D97CE7"/>
    <w:rsid w:val="00DA2248"/>
    <w:rsid w:val="00DA4564"/>
    <w:rsid w:val="00DA59D2"/>
    <w:rsid w:val="00DA5BEF"/>
    <w:rsid w:val="00DB084D"/>
    <w:rsid w:val="00DB30CF"/>
    <w:rsid w:val="00DB3D08"/>
    <w:rsid w:val="00DB51C4"/>
    <w:rsid w:val="00DB7A2D"/>
    <w:rsid w:val="00DC01F1"/>
    <w:rsid w:val="00DC194F"/>
    <w:rsid w:val="00DC3DF9"/>
    <w:rsid w:val="00DC4572"/>
    <w:rsid w:val="00DC5D85"/>
    <w:rsid w:val="00DC6DAE"/>
    <w:rsid w:val="00DC6EC1"/>
    <w:rsid w:val="00DD0C58"/>
    <w:rsid w:val="00DD315E"/>
    <w:rsid w:val="00DD3E8F"/>
    <w:rsid w:val="00DD76F5"/>
    <w:rsid w:val="00DE0F58"/>
    <w:rsid w:val="00DE759B"/>
    <w:rsid w:val="00DE7E8A"/>
    <w:rsid w:val="00DF0EA3"/>
    <w:rsid w:val="00DF1B54"/>
    <w:rsid w:val="00DF4F7C"/>
    <w:rsid w:val="00DF5948"/>
    <w:rsid w:val="00DF697A"/>
    <w:rsid w:val="00E00B95"/>
    <w:rsid w:val="00E0377E"/>
    <w:rsid w:val="00E060A5"/>
    <w:rsid w:val="00E06419"/>
    <w:rsid w:val="00E06F93"/>
    <w:rsid w:val="00E14682"/>
    <w:rsid w:val="00E1529A"/>
    <w:rsid w:val="00E15C0A"/>
    <w:rsid w:val="00E20D7E"/>
    <w:rsid w:val="00E216E3"/>
    <w:rsid w:val="00E301F5"/>
    <w:rsid w:val="00E3061A"/>
    <w:rsid w:val="00E30E5C"/>
    <w:rsid w:val="00E31D9E"/>
    <w:rsid w:val="00E32174"/>
    <w:rsid w:val="00E333AE"/>
    <w:rsid w:val="00E35CDF"/>
    <w:rsid w:val="00E4083D"/>
    <w:rsid w:val="00E41D2F"/>
    <w:rsid w:val="00E41D56"/>
    <w:rsid w:val="00E461A3"/>
    <w:rsid w:val="00E4649B"/>
    <w:rsid w:val="00E5062C"/>
    <w:rsid w:val="00E50CA7"/>
    <w:rsid w:val="00E5163E"/>
    <w:rsid w:val="00E51CDC"/>
    <w:rsid w:val="00E52121"/>
    <w:rsid w:val="00E521DF"/>
    <w:rsid w:val="00E54712"/>
    <w:rsid w:val="00E60363"/>
    <w:rsid w:val="00E63C30"/>
    <w:rsid w:val="00E65BB2"/>
    <w:rsid w:val="00E71D56"/>
    <w:rsid w:val="00E723E4"/>
    <w:rsid w:val="00E7492C"/>
    <w:rsid w:val="00E7504F"/>
    <w:rsid w:val="00E752AB"/>
    <w:rsid w:val="00E76A58"/>
    <w:rsid w:val="00E77566"/>
    <w:rsid w:val="00E808E4"/>
    <w:rsid w:val="00E80C5D"/>
    <w:rsid w:val="00E80C65"/>
    <w:rsid w:val="00E80FB0"/>
    <w:rsid w:val="00E8254E"/>
    <w:rsid w:val="00E8425F"/>
    <w:rsid w:val="00E86E48"/>
    <w:rsid w:val="00E86FD0"/>
    <w:rsid w:val="00E87C2D"/>
    <w:rsid w:val="00E911DA"/>
    <w:rsid w:val="00E926D4"/>
    <w:rsid w:val="00E92FDF"/>
    <w:rsid w:val="00E93557"/>
    <w:rsid w:val="00E93E40"/>
    <w:rsid w:val="00E96DB8"/>
    <w:rsid w:val="00E97C3D"/>
    <w:rsid w:val="00EA1472"/>
    <w:rsid w:val="00EA1C7E"/>
    <w:rsid w:val="00EA220D"/>
    <w:rsid w:val="00EA485D"/>
    <w:rsid w:val="00EB025F"/>
    <w:rsid w:val="00EB4254"/>
    <w:rsid w:val="00EB5811"/>
    <w:rsid w:val="00EB5FA3"/>
    <w:rsid w:val="00EB6AD8"/>
    <w:rsid w:val="00EC3AC2"/>
    <w:rsid w:val="00EC4617"/>
    <w:rsid w:val="00EC475A"/>
    <w:rsid w:val="00EC6D90"/>
    <w:rsid w:val="00ED1D5E"/>
    <w:rsid w:val="00ED25B7"/>
    <w:rsid w:val="00ED3F24"/>
    <w:rsid w:val="00ED53AD"/>
    <w:rsid w:val="00ED672B"/>
    <w:rsid w:val="00EE04BE"/>
    <w:rsid w:val="00EE16F7"/>
    <w:rsid w:val="00EE2821"/>
    <w:rsid w:val="00EE34F4"/>
    <w:rsid w:val="00EE438A"/>
    <w:rsid w:val="00EE4CFD"/>
    <w:rsid w:val="00EE6E18"/>
    <w:rsid w:val="00EE7341"/>
    <w:rsid w:val="00EF081E"/>
    <w:rsid w:val="00EF0D81"/>
    <w:rsid w:val="00EF2B17"/>
    <w:rsid w:val="00EF2C89"/>
    <w:rsid w:val="00EF5B21"/>
    <w:rsid w:val="00EF6142"/>
    <w:rsid w:val="00EF652A"/>
    <w:rsid w:val="00F00596"/>
    <w:rsid w:val="00F00AF3"/>
    <w:rsid w:val="00F04E19"/>
    <w:rsid w:val="00F055C3"/>
    <w:rsid w:val="00F0572D"/>
    <w:rsid w:val="00F0659A"/>
    <w:rsid w:val="00F07C35"/>
    <w:rsid w:val="00F13976"/>
    <w:rsid w:val="00F156DF"/>
    <w:rsid w:val="00F17DA2"/>
    <w:rsid w:val="00F27B55"/>
    <w:rsid w:val="00F27B5C"/>
    <w:rsid w:val="00F30426"/>
    <w:rsid w:val="00F30941"/>
    <w:rsid w:val="00F3099D"/>
    <w:rsid w:val="00F319DE"/>
    <w:rsid w:val="00F31E1A"/>
    <w:rsid w:val="00F3359E"/>
    <w:rsid w:val="00F34A3D"/>
    <w:rsid w:val="00F35516"/>
    <w:rsid w:val="00F36EA4"/>
    <w:rsid w:val="00F4017D"/>
    <w:rsid w:val="00F43BA6"/>
    <w:rsid w:val="00F45EA2"/>
    <w:rsid w:val="00F45FF1"/>
    <w:rsid w:val="00F4657A"/>
    <w:rsid w:val="00F46E70"/>
    <w:rsid w:val="00F47F6B"/>
    <w:rsid w:val="00F541ED"/>
    <w:rsid w:val="00F557B9"/>
    <w:rsid w:val="00F569E4"/>
    <w:rsid w:val="00F56E31"/>
    <w:rsid w:val="00F61A35"/>
    <w:rsid w:val="00F6203C"/>
    <w:rsid w:val="00F62875"/>
    <w:rsid w:val="00F64B9A"/>
    <w:rsid w:val="00F66160"/>
    <w:rsid w:val="00F738C2"/>
    <w:rsid w:val="00F75724"/>
    <w:rsid w:val="00F80C30"/>
    <w:rsid w:val="00F815E2"/>
    <w:rsid w:val="00F82237"/>
    <w:rsid w:val="00F831EF"/>
    <w:rsid w:val="00F86154"/>
    <w:rsid w:val="00F86534"/>
    <w:rsid w:val="00F91394"/>
    <w:rsid w:val="00F9301C"/>
    <w:rsid w:val="00F96240"/>
    <w:rsid w:val="00F97121"/>
    <w:rsid w:val="00FA0999"/>
    <w:rsid w:val="00FA0A47"/>
    <w:rsid w:val="00FA0E2B"/>
    <w:rsid w:val="00FA1A59"/>
    <w:rsid w:val="00FA2A06"/>
    <w:rsid w:val="00FA3ED7"/>
    <w:rsid w:val="00FA5E1A"/>
    <w:rsid w:val="00FA6D55"/>
    <w:rsid w:val="00FA7860"/>
    <w:rsid w:val="00FB33C0"/>
    <w:rsid w:val="00FB4687"/>
    <w:rsid w:val="00FB4F83"/>
    <w:rsid w:val="00FB4FD7"/>
    <w:rsid w:val="00FB6C42"/>
    <w:rsid w:val="00FB72F5"/>
    <w:rsid w:val="00FC0028"/>
    <w:rsid w:val="00FC4CE5"/>
    <w:rsid w:val="00FC7908"/>
    <w:rsid w:val="00FD1EA9"/>
    <w:rsid w:val="00FD4422"/>
    <w:rsid w:val="00FD5707"/>
    <w:rsid w:val="00FD6420"/>
    <w:rsid w:val="00FD716F"/>
    <w:rsid w:val="00FE256C"/>
    <w:rsid w:val="00FE33C9"/>
    <w:rsid w:val="00FE3793"/>
    <w:rsid w:val="00FE437C"/>
    <w:rsid w:val="00FE57BE"/>
    <w:rsid w:val="00FE68C5"/>
    <w:rsid w:val="00FF08C7"/>
    <w:rsid w:val="00FF2CB0"/>
    <w:rsid w:val="00FF4C44"/>
    <w:rsid w:val="00FF50A5"/>
    <w:rsid w:val="00FF5F06"/>
    <w:rsid w:val="00FF7194"/>
    <w:rsid w:val="00FF7C49"/>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E0"/>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7E0"/>
    <w:rPr>
      <w:b/>
      <w:bCs/>
    </w:rPr>
  </w:style>
  <w:style w:type="paragraph" w:styleId="BalloonText">
    <w:name w:val="Balloon Text"/>
    <w:basedOn w:val="Normal"/>
    <w:link w:val="BalloonTextChar"/>
    <w:uiPriority w:val="99"/>
    <w:semiHidden/>
    <w:unhideWhenUsed/>
    <w:rsid w:val="00FB4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87"/>
    <w:rPr>
      <w:rFonts w:ascii="Tahoma" w:hAnsi="Tahoma" w:cs="Tahoma"/>
      <w:sz w:val="16"/>
      <w:szCs w:val="16"/>
      <w:lang w:bidi="ar-SA"/>
    </w:rPr>
  </w:style>
  <w:style w:type="paragraph" w:styleId="NormalWeb">
    <w:name w:val="Normal (Web)"/>
    <w:basedOn w:val="Normal"/>
    <w:uiPriority w:val="99"/>
    <w:semiHidden/>
    <w:unhideWhenUsed/>
    <w:rsid w:val="00FB4687"/>
    <w:pPr>
      <w:spacing w:before="100" w:beforeAutospacing="1" w:after="100" w:afterAutospacing="1" w:line="240" w:lineRule="auto"/>
    </w:pPr>
    <w:rPr>
      <w:rFonts w:ascii="Times New Roman" w:eastAsia="Times New Roman" w:hAnsi="Times New Roman"/>
      <w:sz w:val="24"/>
      <w:szCs w:val="24"/>
      <w:lang w:bidi="ne-NP"/>
    </w:rPr>
  </w:style>
  <w:style w:type="character" w:styleId="Hyperlink">
    <w:name w:val="Hyperlink"/>
    <w:basedOn w:val="DefaultParagraphFont"/>
    <w:uiPriority w:val="99"/>
    <w:semiHidden/>
    <w:unhideWhenUsed/>
    <w:rsid w:val="00FB4687"/>
    <w:rPr>
      <w:color w:val="0000FF"/>
      <w:u w:val="single"/>
    </w:rPr>
  </w:style>
</w:styles>
</file>

<file path=word/webSettings.xml><?xml version="1.0" encoding="utf-8"?>
<w:webSettings xmlns:r="http://schemas.openxmlformats.org/officeDocument/2006/relationships" xmlns:w="http://schemas.openxmlformats.org/wordprocessingml/2006/main">
  <w:divs>
    <w:div w:id="668170891">
      <w:bodyDiv w:val="1"/>
      <w:marLeft w:val="0"/>
      <w:marRight w:val="0"/>
      <w:marTop w:val="0"/>
      <w:marBottom w:val="0"/>
      <w:divBdr>
        <w:top w:val="none" w:sz="0" w:space="0" w:color="auto"/>
        <w:left w:val="none" w:sz="0" w:space="0" w:color="auto"/>
        <w:bottom w:val="none" w:sz="0" w:space="0" w:color="auto"/>
        <w:right w:val="none" w:sz="0" w:space="0" w:color="auto"/>
      </w:divBdr>
      <w:divsChild>
        <w:div w:id="24060698">
          <w:marLeft w:val="0"/>
          <w:marRight w:val="0"/>
          <w:marTop w:val="0"/>
          <w:marBottom w:val="0"/>
          <w:divBdr>
            <w:top w:val="none" w:sz="0" w:space="0" w:color="auto"/>
            <w:left w:val="none" w:sz="0" w:space="0" w:color="auto"/>
            <w:bottom w:val="none" w:sz="0" w:space="0" w:color="auto"/>
            <w:right w:val="none" w:sz="0" w:space="0" w:color="auto"/>
          </w:divBdr>
        </w:div>
      </w:divsChild>
    </w:div>
    <w:div w:id="1153066215">
      <w:bodyDiv w:val="1"/>
      <w:marLeft w:val="0"/>
      <w:marRight w:val="0"/>
      <w:marTop w:val="0"/>
      <w:marBottom w:val="0"/>
      <w:divBdr>
        <w:top w:val="none" w:sz="0" w:space="0" w:color="auto"/>
        <w:left w:val="none" w:sz="0" w:space="0" w:color="auto"/>
        <w:bottom w:val="none" w:sz="0" w:space="0" w:color="auto"/>
        <w:right w:val="none" w:sz="0" w:space="0" w:color="auto"/>
      </w:divBdr>
      <w:divsChild>
        <w:div w:id="1230926364">
          <w:marLeft w:val="0"/>
          <w:marRight w:val="0"/>
          <w:marTop w:val="0"/>
          <w:marBottom w:val="0"/>
          <w:divBdr>
            <w:top w:val="none" w:sz="0" w:space="0" w:color="auto"/>
            <w:left w:val="none" w:sz="0" w:space="0" w:color="auto"/>
            <w:bottom w:val="none" w:sz="0" w:space="0" w:color="auto"/>
            <w:right w:val="none" w:sz="0" w:space="0" w:color="auto"/>
          </w:divBdr>
          <w:divsChild>
            <w:div w:id="784352753">
              <w:marLeft w:val="0"/>
              <w:marRight w:val="0"/>
              <w:marTop w:val="0"/>
              <w:marBottom w:val="0"/>
              <w:divBdr>
                <w:top w:val="none" w:sz="0" w:space="0" w:color="auto"/>
                <w:left w:val="none" w:sz="0" w:space="0" w:color="auto"/>
                <w:bottom w:val="none" w:sz="0" w:space="0" w:color="auto"/>
                <w:right w:val="none" w:sz="0" w:space="0" w:color="auto"/>
              </w:divBdr>
              <w:divsChild>
                <w:div w:id="2647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ch.net/inoc-dba" TargetMode="External"/><Relationship Id="rId5" Type="http://schemas.openxmlformats.org/officeDocument/2006/relationships/hyperlink" Target="http://www.pch.net/inoc-db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dc:creator>
  <cp:lastModifiedBy>dellpc</cp:lastModifiedBy>
  <cp:revision>5</cp:revision>
  <dcterms:created xsi:type="dcterms:W3CDTF">2013-06-25T08:49:00Z</dcterms:created>
  <dcterms:modified xsi:type="dcterms:W3CDTF">2015-07-28T12:45:00Z</dcterms:modified>
</cp:coreProperties>
</file>